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488CC365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5B30CF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7A8641B4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обособена позиция 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>1</w:t>
      </w:r>
      <w:r w:rsidRPr="007E3B86">
        <w:rPr>
          <w:rFonts w:ascii="Times New Roman" w:hAnsi="Times New Roman" w:cs="Times New Roman"/>
          <w:b/>
          <w:sz w:val="30"/>
          <w:szCs w:val="30"/>
        </w:rPr>
        <w:t>: Изпълнение на строително-монтажни работи за обновяване за енергийна ефективност на многофамилни жилищни сгради за територията</w:t>
      </w:r>
    </w:p>
    <w:p w14:paraId="0B93A31C" w14:textId="77777777" w:rsidR="00062813" w:rsidRPr="007E3B86" w:rsidRDefault="00062813" w:rsidP="00E6419B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на </w:t>
      </w:r>
      <w:r w:rsidRPr="00862600">
        <w:rPr>
          <w:rFonts w:ascii="Times New Roman" w:hAnsi="Times New Roman" w:cs="Times New Roman"/>
          <w:b/>
          <w:sz w:val="30"/>
          <w:szCs w:val="30"/>
        </w:rPr>
        <w:t>Видин, Враца, Ловеч, Монтана, Плевен, Лом</w:t>
      </w:r>
    </w:p>
    <w:p w14:paraId="30409B82" w14:textId="77777777" w:rsidR="00E7651E" w:rsidRDefault="00E7651E" w:rsidP="00E7651E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531128">
        <w:rPr>
          <w:rFonts w:ascii="Times New Roman" w:hAnsi="Times New Roman" w:cs="Times New Roman"/>
          <w:b/>
          <w:sz w:val="30"/>
          <w:szCs w:val="30"/>
        </w:rPr>
        <w:t xml:space="preserve">гр. Плевен, ул. „Генерал Колев” </w:t>
      </w:r>
      <w:r>
        <w:rPr>
          <w:rFonts w:ascii="Times New Roman" w:hAnsi="Times New Roman" w:cs="Times New Roman"/>
          <w:b/>
          <w:sz w:val="30"/>
          <w:szCs w:val="30"/>
        </w:rPr>
        <w:t xml:space="preserve">№ </w:t>
      </w:r>
      <w:r w:rsidRPr="00531128">
        <w:rPr>
          <w:rFonts w:ascii="Times New Roman" w:hAnsi="Times New Roman" w:cs="Times New Roman"/>
          <w:b/>
          <w:sz w:val="30"/>
          <w:szCs w:val="30"/>
        </w:rPr>
        <w:t>33</w:t>
      </w:r>
      <w:r w:rsidRPr="007758EC">
        <w:rPr>
          <w:rFonts w:ascii="Times New Roman" w:hAnsi="Times New Roman" w:cs="Times New Roman"/>
          <w:b/>
          <w:sz w:val="30"/>
          <w:szCs w:val="30"/>
        </w:rPr>
        <w:t xml:space="preserve">, с рег. № </w:t>
      </w:r>
      <w:r w:rsidRPr="00531128">
        <w:rPr>
          <w:rFonts w:ascii="Times New Roman" w:hAnsi="Times New Roman" w:cs="Times New Roman"/>
          <w:b/>
          <w:sz w:val="30"/>
          <w:szCs w:val="30"/>
        </w:rPr>
        <w:t>269-23-006-K-154</w:t>
      </w:r>
      <w:r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Pr="007E3B86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 обновяване за енергийна ефективност</w:t>
      </w:r>
    </w:p>
    <w:p w14:paraId="789B46BE" w14:textId="77777777" w:rsidR="00A81DD6" w:rsidRPr="00A81DD6" w:rsidRDefault="00A81DD6" w:rsidP="00A81DD6">
      <w:pPr>
        <w:tabs>
          <w:tab w:val="left" w:pos="709"/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</w:p>
    <w:tbl>
      <w:tblPr>
        <w:tblStyle w:val="TableGrid"/>
        <w:tblW w:w="8926" w:type="dxa"/>
        <w:tblLayout w:type="fixed"/>
        <w:tblLook w:val="04A0" w:firstRow="1" w:lastRow="0" w:firstColumn="1" w:lastColumn="0" w:noHBand="0" w:noVBand="1"/>
      </w:tblPr>
      <w:tblGrid>
        <w:gridCol w:w="4361"/>
        <w:gridCol w:w="4565"/>
      </w:tblGrid>
      <w:tr w:rsidR="007E3B86" w14:paraId="02DFA868" w14:textId="77777777" w:rsidTr="00202B2F">
        <w:trPr>
          <w:trHeight w:val="210"/>
        </w:trPr>
        <w:tc>
          <w:tcPr>
            <w:tcW w:w="4361" w:type="dxa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565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202B2F">
        <w:trPr>
          <w:trHeight w:val="120"/>
        </w:trPr>
        <w:tc>
          <w:tcPr>
            <w:tcW w:w="4361" w:type="dxa"/>
          </w:tcPr>
          <w:p w14:paraId="594C511B" w14:textId="6A3333F3" w:rsidR="007E3B86" w:rsidRDefault="00E7651E" w:rsidP="00A81DD6">
            <w:pPr>
              <w:tabs>
                <w:tab w:val="left" w:pos="709"/>
                <w:tab w:val="left" w:pos="1830"/>
                <w:tab w:val="center" w:pos="2072"/>
                <w:tab w:val="left" w:pos="3990"/>
              </w:tabs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46FD6">
              <w:rPr>
                <w:noProof/>
                <w:lang w:eastAsia="bg-BG"/>
              </w:rPr>
              <w:drawing>
                <wp:inline distT="0" distB="0" distL="0" distR="0" wp14:anchorId="495CD0F6" wp14:editId="2290D2F9">
                  <wp:extent cx="2466975" cy="1943100"/>
                  <wp:effectExtent l="0" t="0" r="9525" b="0"/>
                  <wp:docPr id="560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7481" cy="1943498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5" w:type="dxa"/>
          </w:tcPr>
          <w:p w14:paraId="5FD062E8" w14:textId="44C99F68" w:rsidR="007E3B86" w:rsidRDefault="00E7651E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46FD6">
              <w:rPr>
                <w:noProof/>
                <w:lang w:eastAsia="bg-BG"/>
              </w:rPr>
              <w:drawing>
                <wp:inline distT="0" distB="0" distL="0" distR="0" wp14:anchorId="05F532A0" wp14:editId="2AA3CF6F">
                  <wp:extent cx="2857500" cy="1981200"/>
                  <wp:effectExtent l="19050" t="0" r="0" b="0"/>
                  <wp:docPr id="560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8120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758FFBC" w14:textId="77777777" w:rsidR="0029386F" w:rsidRDefault="0029386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056E9F44" w14:textId="77777777" w:rsidR="00BF55FD" w:rsidRDefault="00BF55FD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4CC0399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BF55FD">
        <w:rPr>
          <w:rFonts w:ascii="Times New Roman" w:hAnsi="Times New Roman" w:cs="Times New Roman"/>
          <w:sz w:val="24"/>
          <w:szCs w:val="24"/>
        </w:rPr>
        <w:t>Плевен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18AEC507" w14:textId="77777777" w:rsidR="00E7651E" w:rsidRPr="00FF131E" w:rsidRDefault="00B87CA7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765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E7651E">
        <w:rPr>
          <w:rFonts w:ascii="Times New Roman" w:hAnsi="Times New Roman" w:cs="Times New Roman"/>
          <w:sz w:val="24"/>
          <w:szCs w:val="24"/>
        </w:rPr>
        <w:t>BG</w:t>
      </w:r>
      <w:r w:rsidR="00E765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E7651E" w:rsidRPr="00531128">
        <w:rPr>
          <w:rFonts w:ascii="Times New Roman" w:hAnsi="Times New Roman" w:cs="Times New Roman"/>
          <w:sz w:val="24"/>
          <w:szCs w:val="24"/>
        </w:rPr>
        <w:t xml:space="preserve">гр. Плевен, ул. „Генерал Колев” № 33, с рег. № 269-23-006-K-154 </w:t>
      </w:r>
      <w:r w:rsidR="00E765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03C966AD" w14:textId="77777777" w:rsidR="00E7651E" w:rsidRPr="00FF131E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6074B91D" w14:textId="77777777" w:rsidR="00E7651E" w:rsidRPr="00FF131E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</w:t>
      </w:r>
      <w:r w:rsidRPr="00531128">
        <w:rPr>
          <w:rFonts w:ascii="Times New Roman" w:hAnsi="Times New Roman" w:cs="Times New Roman"/>
          <w:b/>
          <w:i/>
          <w:sz w:val="24"/>
          <w:szCs w:val="24"/>
        </w:rPr>
        <w:t>гр. Плевен, ул. „Генерал Колев” № 33</w:t>
      </w:r>
      <w:r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7394EB0" w14:textId="246DB8A6" w:rsidR="00E7651E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022A">
        <w:rPr>
          <w:rFonts w:ascii="Times New Roman" w:hAnsi="Times New Roman" w:cs="Times New Roman"/>
          <w:sz w:val="24"/>
          <w:szCs w:val="24"/>
        </w:rPr>
        <w:t>Жи</w:t>
      </w:r>
      <w:r>
        <w:rPr>
          <w:rFonts w:ascii="Times New Roman" w:hAnsi="Times New Roman" w:cs="Times New Roman"/>
          <w:sz w:val="24"/>
          <w:szCs w:val="24"/>
        </w:rPr>
        <w:t>лищната сграда е</w:t>
      </w:r>
      <w:r w:rsidRPr="00F041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въведена</w:t>
      </w:r>
      <w:r w:rsidRPr="00C24772">
        <w:rPr>
          <w:rFonts w:ascii="Times New Roman" w:hAnsi="Times New Roman" w:cs="Times New Roman"/>
          <w:sz w:val="24"/>
          <w:szCs w:val="24"/>
        </w:rPr>
        <w:t xml:space="preserve"> в експлоатация през 1</w:t>
      </w:r>
      <w:r>
        <w:rPr>
          <w:rFonts w:ascii="Times New Roman" w:hAnsi="Times New Roman" w:cs="Times New Roman"/>
          <w:sz w:val="24"/>
          <w:szCs w:val="24"/>
        </w:rPr>
        <w:t>978</w:t>
      </w:r>
      <w:r w:rsidRPr="00C24772">
        <w:rPr>
          <w:rFonts w:ascii="Times New Roman" w:hAnsi="Times New Roman" w:cs="Times New Roman"/>
          <w:sz w:val="24"/>
          <w:szCs w:val="24"/>
        </w:rPr>
        <w:t xml:space="preserve"> година.  </w:t>
      </w:r>
      <w:r w:rsidRPr="00531128">
        <w:rPr>
          <w:rFonts w:ascii="Times New Roman" w:hAnsi="Times New Roman" w:cs="Times New Roman"/>
          <w:sz w:val="24"/>
          <w:szCs w:val="24"/>
        </w:rPr>
        <w:t xml:space="preserve">Състои се от: приземен етаж с гаражи и мазета, 3 жилищни етажа и обитаем тавански етаж. Подходът към сградата се осъществява от северната  ѝ фасада. </w:t>
      </w:r>
    </w:p>
    <w:p w14:paraId="7C8C83B6" w14:textId="77777777" w:rsidR="00E7651E" w:rsidRPr="00531128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1128">
        <w:rPr>
          <w:rFonts w:ascii="Times New Roman" w:hAnsi="Times New Roman" w:cs="Times New Roman"/>
          <w:sz w:val="24"/>
          <w:szCs w:val="24"/>
        </w:rPr>
        <w:t xml:space="preserve">Конструкцията на сградата е монолитна стоманобетонова, скелетно-гредова със стоманобетонови надосновни стени. Външните тухлени стени са с дебелина 25см, а от северната и частично по западната страна, при мазетата, стените в сутерения етаж са бетонови с дебелина 40 см. Вътрешните стоманобетонови стени са с дебелина 25 см. Плочата в част от сутерения етаж е изпълнена с дебелина 20 см. Сградата е фундирана на ивични фундаменти. </w:t>
      </w:r>
    </w:p>
    <w:p w14:paraId="35A5CBCA" w14:textId="77777777" w:rsidR="00E7651E" w:rsidRPr="00531128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31128">
        <w:rPr>
          <w:rFonts w:ascii="Times New Roman" w:hAnsi="Times New Roman" w:cs="Times New Roman"/>
          <w:sz w:val="24"/>
          <w:szCs w:val="24"/>
        </w:rPr>
        <w:t>Приземният етаж на сградата се намира на кота -2,50. Поради денивелация на терена той е частично вкопан от северната страна и е на нивото на прилежащия терен от южната страна. На нивото от южната страна са разположени гаражи, който са достъпни директно отвън, на кота терен. В останалата, северна част на разпределението са организирани складови помещения – мазета, достъпни от стълбището на сградата, което също е ориентирано на север. Подходът към мазетата се осъществява от входната площадка на кота -1,44, откъдето посредством едно стълбищно рамо с 6 стъпала, отделено от останалата част на стълбището със зидове и врата за достъп, се слиза на кота-2,50.</w:t>
      </w:r>
    </w:p>
    <w:p w14:paraId="3487C2CD" w14:textId="77777777" w:rsidR="00E7651E" w:rsidRPr="00531128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1128">
        <w:rPr>
          <w:rFonts w:ascii="Times New Roman" w:hAnsi="Times New Roman" w:cs="Times New Roman"/>
          <w:sz w:val="24"/>
          <w:szCs w:val="24"/>
        </w:rPr>
        <w:t>Конструктивната височ</w:t>
      </w:r>
      <w:r>
        <w:rPr>
          <w:rFonts w:ascii="Times New Roman" w:hAnsi="Times New Roman" w:cs="Times New Roman"/>
          <w:sz w:val="24"/>
          <w:szCs w:val="24"/>
        </w:rPr>
        <w:t>ина на жилищните етажи е 2,90 м.</w:t>
      </w:r>
    </w:p>
    <w:p w14:paraId="5408FF90" w14:textId="20517081" w:rsidR="002926AB" w:rsidRPr="00BE7EE3" w:rsidRDefault="00E7651E" w:rsidP="002926A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31128">
        <w:rPr>
          <w:rFonts w:ascii="Times New Roman" w:hAnsi="Times New Roman" w:cs="Times New Roman"/>
          <w:sz w:val="24"/>
          <w:szCs w:val="24"/>
        </w:rPr>
        <w:t>Покривът е изпълнен като двускатен, с покритие от керемиди върху дъсчена скара. Няма изпълнена хидро и топлоизолация.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1128">
        <w:rPr>
          <w:rFonts w:ascii="Times New Roman" w:hAnsi="Times New Roman" w:cs="Times New Roman"/>
          <w:sz w:val="24"/>
          <w:szCs w:val="24"/>
        </w:rPr>
        <w:t>Конструкцията е стоманобетонна плоча. Същата излиза конзолно по всички фасади с изключение на източната, която граничи с калкан. Плочата е с отвори за табакери по двата ската, осигуряващи осветление на таванските помещения. Табакерите са с единично армирано стъкло.</w:t>
      </w:r>
    </w:p>
    <w:p w14:paraId="5D0BB7B2" w14:textId="39E5EE3A" w:rsidR="008A022A" w:rsidRDefault="00F0414E" w:rsidP="00F2478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  <w:r w:rsidR="005858A7">
        <w:rPr>
          <w:rFonts w:ascii="Times New Roman" w:hAnsi="Times New Roman" w:cs="Times New Roman"/>
          <w:sz w:val="24"/>
          <w:szCs w:val="24"/>
        </w:rPr>
        <w:tab/>
      </w:r>
      <w:r w:rsidR="008A022A" w:rsidRPr="008A0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7860A1" w14:textId="1E1BE0AD" w:rsidR="00C62861" w:rsidRPr="00FF131E" w:rsidRDefault="005858A7" w:rsidP="008A022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05BC4AF9" w14:textId="77777777" w:rsidR="00E7651E" w:rsidRPr="00DB55A6" w:rsidRDefault="00E7651E" w:rsidP="00E7651E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55A6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2394DA79" w14:textId="77777777" w:rsidR="00E7651E" w:rsidRPr="00DB55A6" w:rsidRDefault="00E7651E" w:rsidP="00E7651E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55A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208E0749" w14:textId="77777777" w:rsidR="00E7651E" w:rsidRDefault="00E7651E" w:rsidP="00E7651E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;</w:t>
      </w:r>
    </w:p>
    <w:p w14:paraId="03BA3F42" w14:textId="77777777" w:rsidR="00E7651E" w:rsidRDefault="00E7651E" w:rsidP="00E7651E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B55A6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граничещ с външен въздух /еркер/.;</w:t>
      </w:r>
    </w:p>
    <w:p w14:paraId="1B19823F" w14:textId="59645A94" w:rsidR="00E7651E" w:rsidRDefault="00E7651E" w:rsidP="00E7651E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Подмяна на топлообменника за БГВ;</w:t>
      </w:r>
    </w:p>
    <w:p w14:paraId="3CA6785D" w14:textId="77777777" w:rsidR="00E7651E" w:rsidRDefault="00E7651E" w:rsidP="00E7651E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464D">
        <w:rPr>
          <w:rFonts w:ascii="Times New Roman" w:hAnsi="Times New Roman" w:cs="Times New Roman"/>
          <w:b/>
          <w:i/>
          <w:sz w:val="24"/>
          <w:szCs w:val="24"/>
        </w:rPr>
        <w:t>Подмяна на отоплителна инсталация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2F14A7F" w14:textId="77777777" w:rsidR="0095289C" w:rsidRPr="0095289C" w:rsidRDefault="0095289C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289C">
        <w:rPr>
          <w:rFonts w:ascii="Times New Roman" w:hAnsi="Times New Roman" w:cs="Times New Roman"/>
          <w:b/>
          <w:i/>
          <w:sz w:val="24"/>
          <w:szCs w:val="24"/>
        </w:rPr>
        <w:t>Въвеждане на енергоспестяващо осветление в общите части на сградата</w:t>
      </w:r>
    </w:p>
    <w:p w14:paraId="79F3D4F3" w14:textId="77777777" w:rsidR="00E7651E" w:rsidRPr="00E7651E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6975450" w14:textId="68707105" w:rsidR="0029386F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B55A6">
        <w:rPr>
          <w:rFonts w:ascii="Times New Roman" w:hAnsi="Times New Roman" w:cs="Times New Roman"/>
          <w:sz w:val="24"/>
          <w:szCs w:val="24"/>
        </w:rPr>
        <w:lastRenderedPageBreak/>
        <w:t>Описание на енергоспестяващи мерки за намаляване на разходите за енергия</w:t>
      </w:r>
      <w:r w:rsidR="00DB55A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1A36BB5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</w:t>
      </w:r>
      <w:r w:rsidR="005822D1">
        <w:rPr>
          <w:rFonts w:ascii="Times New Roman" w:hAnsi="Times New Roman" w:cs="Times New Roman"/>
          <w:b/>
          <w:i/>
          <w:sz w:val="24"/>
          <w:szCs w:val="24"/>
          <w:u w:val="single"/>
        </w:rPr>
        <w:t>съществуваща стара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A918796" w14:textId="7AF59DD8" w:rsidR="000D4A21" w:rsidRDefault="0029386F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51E" w:rsidRPr="00F80B71">
        <w:rPr>
          <w:rFonts w:ascii="Times New Roman" w:hAnsi="Times New Roman" w:cs="Times New Roman"/>
          <w:sz w:val="24"/>
          <w:szCs w:val="24"/>
        </w:rPr>
        <w:t>В 5 от апартаментите дограмата е сменена с алуминиева с прекъснат термомост и PVC.  В 3 апартамента дограмата е дървена двукатна. На стълбищната клетка дограмата</w:t>
      </w:r>
      <w:r w:rsidR="00E7651E">
        <w:rPr>
          <w:rFonts w:ascii="Times New Roman" w:hAnsi="Times New Roman" w:cs="Times New Roman"/>
          <w:sz w:val="24"/>
          <w:szCs w:val="24"/>
        </w:rPr>
        <w:t xml:space="preserve"> е метална  с единично стъкло. </w:t>
      </w:r>
      <w:r w:rsidR="00E7651E" w:rsidRPr="00F80B71">
        <w:rPr>
          <w:rFonts w:ascii="Times New Roman" w:hAnsi="Times New Roman" w:cs="Times New Roman"/>
          <w:sz w:val="24"/>
          <w:szCs w:val="24"/>
        </w:rPr>
        <w:t>Дървената и металната дограма  не е  в  добро състояние и е предпоставка  за голяма инфилтрация.</w:t>
      </w:r>
    </w:p>
    <w:p w14:paraId="500622A3" w14:textId="6C0B6B64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A8C0F8D" w14:textId="2F17930A" w:rsidR="000D4A21" w:rsidRDefault="00C827CA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386F" w:rsidRPr="00CF7FC9">
        <w:rPr>
          <w:rFonts w:ascii="Times New Roman" w:hAnsi="Times New Roman" w:cs="Times New Roman"/>
          <w:sz w:val="24"/>
          <w:szCs w:val="24"/>
        </w:rPr>
        <w:t xml:space="preserve">Предвижда се подмяна на съществуващата дограма с PVC и AL, остъклени с двоен стъклопакет - Демонтаж на стара дървена и стоманена дограма по апартаменти и общи части в сградата, както и остъкления по тераси. Доставка и монтаж на нова PVC дограма с двоен стъклопакет, с едно обикновено стъкло </w:t>
      </w:r>
      <w:r w:rsidR="00294267">
        <w:rPr>
          <w:rFonts w:ascii="Times New Roman" w:hAnsi="Times New Roman" w:cs="Times New Roman"/>
          <w:sz w:val="24"/>
          <w:szCs w:val="24"/>
        </w:rPr>
        <w:t>,</w:t>
      </w:r>
      <w:r w:rsidR="0029386F" w:rsidRPr="00CF7FC9">
        <w:rPr>
          <w:rFonts w:ascii="Times New Roman" w:hAnsi="Times New Roman" w:cs="Times New Roman"/>
          <w:sz w:val="24"/>
          <w:szCs w:val="24"/>
        </w:rPr>
        <w:t xml:space="preserve"> въздушен и Ка стъкло 4 mm, с коефициент на топлопреминаване ≤ 1,40 W/m²К, а за входната врата - AL-дограма  със същия стъклопакет, с коефициент на топлопреминаване ≤ 1,70 W/m²К.</w:t>
      </w:r>
    </w:p>
    <w:p w14:paraId="492E165E" w14:textId="331EB700" w:rsidR="00E7651E" w:rsidRDefault="0095289C" w:rsidP="00E7651E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7651E">
        <w:rPr>
          <w:rFonts w:ascii="Times New Roman" w:hAnsi="Times New Roman" w:cs="Times New Roman"/>
          <w:sz w:val="24"/>
          <w:szCs w:val="24"/>
        </w:rPr>
        <w:t xml:space="preserve">Като съпътстващи мерки са предвидени: </w:t>
      </w:r>
    </w:p>
    <w:p w14:paraId="081CE3CD" w14:textId="5EA95558" w:rsidR="00E7651E" w:rsidRPr="0095289C" w:rsidRDefault="00E7651E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Демонтиране (изваждане от зид) на врати и прозорци;</w:t>
      </w:r>
    </w:p>
    <w:p w14:paraId="575BE62B" w14:textId="39719727" w:rsidR="00E7651E" w:rsidRPr="0095289C" w:rsidRDefault="00E7651E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Доставка и монтаж на вътрешен PVC подпрозоречен перваз;</w:t>
      </w:r>
    </w:p>
    <w:p w14:paraId="7B99F063" w14:textId="306060B3" w:rsidR="00E7651E" w:rsidRPr="0095289C" w:rsidRDefault="00E7651E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Доставка и монтаж на външен алуминиев подпрозоречен перваз ширина до 20 см;</w:t>
      </w:r>
    </w:p>
    <w:p w14:paraId="5BA7EDF7" w14:textId="6C4434EE" w:rsidR="00E7651E" w:rsidRPr="0095289C" w:rsidRDefault="00E7651E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Уплътняване с монтажна полиуретанова пяна на монтираните врати и прозорци;</w:t>
      </w:r>
    </w:p>
    <w:p w14:paraId="5460FB10" w14:textId="38FD0442" w:rsidR="00E7651E" w:rsidRPr="0095289C" w:rsidRDefault="00E7651E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Изкърпване на мазилка около отворите;</w:t>
      </w:r>
    </w:p>
    <w:p w14:paraId="278C88F4" w14:textId="1097752A" w:rsidR="00E7651E" w:rsidRPr="0095289C" w:rsidRDefault="00E7651E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Гипсова шпакловка;</w:t>
      </w:r>
    </w:p>
    <w:p w14:paraId="556EC0F2" w14:textId="68DBD4A4" w:rsidR="00E7651E" w:rsidRPr="0095289C" w:rsidRDefault="00E7651E" w:rsidP="0095289C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Боядисване с латекс двукратно.</w:t>
      </w:r>
    </w:p>
    <w:p w14:paraId="76201E0F" w14:textId="77777777" w:rsidR="00E7651E" w:rsidRDefault="00E7651E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7C214CCC" w14:textId="54393859" w:rsidR="00FF131E" w:rsidRPr="00FF131E" w:rsidRDefault="00B87CA7" w:rsidP="0029386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730BF08" w14:textId="241D8540" w:rsidR="00E7651E" w:rsidRDefault="00E7651E" w:rsidP="00E7651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</w:t>
      </w:r>
      <w:r w:rsidRPr="00F80B71">
        <w:rPr>
          <w:rFonts w:ascii="Times New Roman" w:hAnsi="Times New Roman" w:cs="Times New Roman"/>
          <w:sz w:val="24"/>
          <w:szCs w:val="24"/>
        </w:rPr>
        <w:t>граждащите стени  са изпълнени с тухлена зидария от решетъчни тухли, бетон и са няколко типа с подтипове в зависимост</w:t>
      </w:r>
      <w:r>
        <w:rPr>
          <w:rFonts w:ascii="Times New Roman" w:hAnsi="Times New Roman" w:cs="Times New Roman"/>
          <w:sz w:val="24"/>
          <w:szCs w:val="24"/>
        </w:rPr>
        <w:t xml:space="preserve"> от външното финишното покритие.</w:t>
      </w:r>
    </w:p>
    <w:p w14:paraId="23AEFB1E" w14:textId="71FE83D7" w:rsidR="0029386F" w:rsidRDefault="002D41AC" w:rsidP="003F133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1E60">
        <w:rPr>
          <w:rFonts w:ascii="Times New Roman" w:hAnsi="Times New Roman" w:cs="Times New Roman"/>
          <w:sz w:val="24"/>
          <w:szCs w:val="24"/>
        </w:rPr>
        <w:lastRenderedPageBreak/>
        <w:t>Действителният обобщен коефициент на топлопреминаване е по-висок от актуалната стойност на коефициента на топлопреминаване за стени, граничещи с външен въздух.</w:t>
      </w:r>
    </w:p>
    <w:p w14:paraId="1B90003F" w14:textId="7869BB2C" w:rsidR="00FF131E" w:rsidRPr="00D24467" w:rsidRDefault="0029386F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5C2C57E" w14:textId="650B6590" w:rsidR="0029386F" w:rsidRDefault="0029386F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  <w:tab/>
      </w:r>
      <w:r w:rsidRPr="00CF7FC9">
        <w:rPr>
          <w:rFonts w:ascii="Times New Roman" w:hAnsi="Times New Roman" w:cs="Times New Roman"/>
          <w:sz w:val="24"/>
          <w:szCs w:val="24"/>
        </w:rPr>
        <w:t>Предвижда се доставка и монтаж на топлоизолационна система тип експандиран пенополистирол (EPS) с δ=1</w:t>
      </w:r>
      <w:r w:rsidR="00A81DD6">
        <w:rPr>
          <w:rFonts w:ascii="Times New Roman" w:hAnsi="Times New Roman" w:cs="Times New Roman"/>
          <w:sz w:val="24"/>
          <w:szCs w:val="24"/>
        </w:rPr>
        <w:t>1</w:t>
      </w:r>
      <w:r w:rsidR="00FD3A35">
        <w:rPr>
          <w:rFonts w:ascii="Times New Roman" w:hAnsi="Times New Roman" w:cs="Times New Roman"/>
          <w:sz w:val="24"/>
          <w:szCs w:val="24"/>
        </w:rPr>
        <w:t>,</w:t>
      </w:r>
      <w:r w:rsidR="00FD3A35" w:rsidRPr="00FD3A35">
        <w:rPr>
          <w:rFonts w:ascii="Times New Roman" w:hAnsi="Times New Roman" w:cs="Times New Roman"/>
          <w:sz w:val="24"/>
          <w:szCs w:val="24"/>
        </w:rPr>
        <w:t xml:space="preserve"> </w:t>
      </w:r>
      <w:r w:rsidR="00FD3A35">
        <w:rPr>
          <w:rFonts w:ascii="Times New Roman" w:hAnsi="Times New Roman" w:cs="Times New Roman"/>
          <w:sz w:val="24"/>
          <w:szCs w:val="24"/>
        </w:rPr>
        <w:t>δ=</w:t>
      </w:r>
      <w:r w:rsidR="0095289C">
        <w:rPr>
          <w:rFonts w:ascii="Times New Roman" w:hAnsi="Times New Roman" w:cs="Times New Roman"/>
          <w:sz w:val="24"/>
          <w:szCs w:val="24"/>
        </w:rPr>
        <w:t xml:space="preserve">8, δ=5 </w:t>
      </w:r>
      <w:r w:rsidR="00FD3A35">
        <w:rPr>
          <w:rFonts w:ascii="Times New Roman" w:hAnsi="Times New Roman" w:cs="Times New Roman"/>
          <w:sz w:val="24"/>
          <w:szCs w:val="24"/>
        </w:rPr>
        <w:t xml:space="preserve"> и δ=</w:t>
      </w:r>
      <w:r w:rsidR="0095289C">
        <w:rPr>
          <w:rFonts w:ascii="Times New Roman" w:hAnsi="Times New Roman" w:cs="Times New Roman"/>
          <w:sz w:val="24"/>
          <w:szCs w:val="24"/>
        </w:rPr>
        <w:t>2</w:t>
      </w:r>
      <w:r w:rsidR="00FD3A35">
        <w:rPr>
          <w:rFonts w:ascii="Times New Roman" w:hAnsi="Times New Roman" w:cs="Times New Roman"/>
          <w:sz w:val="24"/>
          <w:szCs w:val="24"/>
        </w:rPr>
        <w:t xml:space="preserve"> </w:t>
      </w:r>
      <w:r w:rsidRPr="00CF7FC9">
        <w:rPr>
          <w:rFonts w:ascii="Times New Roman" w:hAnsi="Times New Roman" w:cs="Times New Roman"/>
          <w:sz w:val="24"/>
          <w:szCs w:val="24"/>
        </w:rPr>
        <w:t>сm и коефи</w:t>
      </w:r>
      <w:r w:rsidR="00353ABC">
        <w:rPr>
          <w:rFonts w:ascii="Times New Roman" w:hAnsi="Times New Roman" w:cs="Times New Roman"/>
          <w:sz w:val="24"/>
          <w:szCs w:val="24"/>
        </w:rPr>
        <w:t>циент на топлопроводност λ≤0,037</w:t>
      </w:r>
      <w:r w:rsidRPr="00CF7FC9">
        <w:rPr>
          <w:rFonts w:ascii="Times New Roman" w:hAnsi="Times New Roman" w:cs="Times New Roman"/>
          <w:sz w:val="24"/>
          <w:szCs w:val="24"/>
        </w:rPr>
        <w:t xml:space="preserve"> W/mK</w:t>
      </w:r>
      <w:r w:rsidR="00FD3A35">
        <w:rPr>
          <w:rFonts w:ascii="Times New Roman" w:hAnsi="Times New Roman" w:cs="Times New Roman"/>
          <w:sz w:val="24"/>
          <w:szCs w:val="24"/>
        </w:rPr>
        <w:t xml:space="preserve"> по външни стени и </w:t>
      </w:r>
      <w:r w:rsidRPr="00CF7FC9">
        <w:rPr>
          <w:rFonts w:ascii="Times New Roman" w:hAnsi="Times New Roman" w:cs="Times New Roman"/>
          <w:sz w:val="24"/>
          <w:szCs w:val="24"/>
        </w:rPr>
        <w:t>външно обръщане на топлоизолация около дограма с</w:t>
      </w:r>
      <w:r w:rsidR="00774751">
        <w:rPr>
          <w:rFonts w:ascii="Times New Roman" w:hAnsi="Times New Roman" w:cs="Times New Roman"/>
          <w:sz w:val="24"/>
          <w:szCs w:val="24"/>
        </w:rPr>
        <w:t xml:space="preserve"> топлоизолационен слой от </w:t>
      </w:r>
      <w:r w:rsidR="003F133A">
        <w:rPr>
          <w:rFonts w:ascii="Times New Roman" w:hAnsi="Times New Roman" w:cs="Times New Roman"/>
          <w:sz w:val="24"/>
          <w:szCs w:val="24"/>
        </w:rPr>
        <w:t>експандиран</w:t>
      </w:r>
      <w:r w:rsidR="00A81DD6">
        <w:rPr>
          <w:rFonts w:ascii="Times New Roman" w:hAnsi="Times New Roman" w:cs="Times New Roman"/>
          <w:sz w:val="24"/>
          <w:szCs w:val="24"/>
        </w:rPr>
        <w:t xml:space="preserve"> </w:t>
      </w:r>
      <w:r w:rsidRPr="00CF7FC9">
        <w:rPr>
          <w:rFonts w:ascii="Times New Roman" w:hAnsi="Times New Roman" w:cs="Times New Roman"/>
          <w:sz w:val="24"/>
          <w:szCs w:val="24"/>
        </w:rPr>
        <w:t>пенополистирол (</w:t>
      </w:r>
      <w:r w:rsidR="003F133A">
        <w:rPr>
          <w:rFonts w:ascii="Times New Roman" w:hAnsi="Times New Roman" w:cs="Times New Roman"/>
          <w:sz w:val="24"/>
          <w:szCs w:val="24"/>
        </w:rPr>
        <w:t>Е</w:t>
      </w:r>
      <w:r w:rsidRPr="00CF7FC9">
        <w:rPr>
          <w:rFonts w:ascii="Times New Roman" w:hAnsi="Times New Roman" w:cs="Times New Roman"/>
          <w:sz w:val="24"/>
          <w:szCs w:val="24"/>
        </w:rPr>
        <w:t>PS), с дебелина δ=0,02 m и коефициент на топлопроводност λ≤0,03</w:t>
      </w:r>
      <w:r w:rsidR="003F133A">
        <w:rPr>
          <w:rFonts w:ascii="Times New Roman" w:hAnsi="Times New Roman" w:cs="Times New Roman"/>
          <w:sz w:val="24"/>
          <w:szCs w:val="24"/>
        </w:rPr>
        <w:t>5</w:t>
      </w:r>
      <w:r w:rsidRPr="00CF7FC9">
        <w:rPr>
          <w:rFonts w:ascii="Times New Roman" w:hAnsi="Times New Roman" w:cs="Times New Roman"/>
          <w:sz w:val="24"/>
          <w:szCs w:val="24"/>
        </w:rPr>
        <w:t xml:space="preserve"> W/mK.</w:t>
      </w:r>
      <w:r w:rsidR="00A81D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B07D28" w14:textId="1464E395" w:rsidR="00FD3A35" w:rsidRDefault="00FD3A35" w:rsidP="00B87CA7">
      <w:pPr>
        <w:tabs>
          <w:tab w:val="left" w:pos="709"/>
          <w:tab w:val="left" w:pos="6330"/>
        </w:tabs>
        <w:jc w:val="both"/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ja-JP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D3A35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предвидени: доставка и монтаж на ЕPS и ХPS, помощни материали /лепило, мрежа, шпакловка, ъглови профили, крепежни елементи и др./, полагане на дълбоко проникващ грунд преди монтаж на топлоизолационна</w:t>
      </w:r>
      <w:r w:rsidR="0095289C">
        <w:rPr>
          <w:rFonts w:ascii="Times New Roman" w:hAnsi="Times New Roman" w:cs="Times New Roman"/>
          <w:sz w:val="24"/>
          <w:szCs w:val="24"/>
        </w:rPr>
        <w:t>та</w:t>
      </w:r>
      <w:r w:rsidRPr="00FD3A35">
        <w:rPr>
          <w:rFonts w:ascii="Times New Roman" w:hAnsi="Times New Roman" w:cs="Times New Roman"/>
          <w:sz w:val="24"/>
          <w:szCs w:val="24"/>
        </w:rPr>
        <w:t xml:space="preserve"> система, полагане на цветна силикатна екстериорна мазилка по външни стен</w:t>
      </w:r>
      <w:r>
        <w:rPr>
          <w:rFonts w:ascii="Times New Roman" w:hAnsi="Times New Roman" w:cs="Times New Roman"/>
          <w:sz w:val="24"/>
          <w:szCs w:val="24"/>
        </w:rPr>
        <w:t xml:space="preserve">и, страници прозорци и балкони, </w:t>
      </w:r>
      <w:r w:rsidRPr="00FD3A35">
        <w:rPr>
          <w:rFonts w:ascii="Times New Roman" w:hAnsi="Times New Roman" w:cs="Times New Roman"/>
          <w:sz w:val="24"/>
          <w:szCs w:val="24"/>
        </w:rPr>
        <w:t>доставка, монтаж и демонтаж на фасадно скеле, шпакловка, почистване на боя, грундиране и боядисване метален парапет.</w:t>
      </w:r>
    </w:p>
    <w:p w14:paraId="5F97A5A5" w14:textId="6C1F287F" w:rsidR="00476F4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3: </w:t>
      </w:r>
      <w:r w:rsidR="00E46E84" w:rsidRPr="00E46E84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под, граничещ с външен въздух /еркер/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30372958" w14:textId="2EB07D2F" w:rsidR="00CF7FC9" w:rsidRDefault="00CF7FC9" w:rsidP="00CF7FC9">
      <w:pPr>
        <w:pStyle w:val="Default"/>
        <w:ind w:firstLine="709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 сградата има </w:t>
      </w:r>
      <w:r w:rsidRPr="00A47B9F">
        <w:rPr>
          <w:rFonts w:ascii="Times New Roman" w:hAnsi="Times New Roman" w:cs="Times New Roman"/>
          <w:color w:val="auto"/>
        </w:rPr>
        <w:t xml:space="preserve">два типа под: </w:t>
      </w:r>
      <w:r>
        <w:rPr>
          <w:rFonts w:ascii="Times New Roman" w:hAnsi="Times New Roman" w:cs="Times New Roman"/>
          <w:color w:val="auto"/>
        </w:rPr>
        <w:t>под граничещ с външен въздух(</w:t>
      </w:r>
      <w:r w:rsidRPr="00A47B9F">
        <w:rPr>
          <w:rFonts w:ascii="Times New Roman" w:hAnsi="Times New Roman" w:cs="Times New Roman"/>
          <w:color w:val="auto"/>
        </w:rPr>
        <w:t>еркери</w:t>
      </w:r>
      <w:r>
        <w:rPr>
          <w:rFonts w:ascii="Times New Roman" w:hAnsi="Times New Roman" w:cs="Times New Roman"/>
          <w:color w:val="auto"/>
        </w:rPr>
        <w:t>)</w:t>
      </w:r>
      <w:r w:rsidRPr="00A47B9F">
        <w:rPr>
          <w:rFonts w:ascii="Times New Roman" w:hAnsi="Times New Roman" w:cs="Times New Roman"/>
          <w:color w:val="auto"/>
        </w:rPr>
        <w:t xml:space="preserve"> и под над неотопляем етаж.      </w:t>
      </w:r>
    </w:p>
    <w:p w14:paraId="43BF393C" w14:textId="77777777" w:rsidR="00CF7FC9" w:rsidRDefault="00CF7FC9" w:rsidP="00CF7FC9">
      <w:pPr>
        <w:pStyle w:val="Default"/>
        <w:ind w:firstLine="709"/>
        <w:rPr>
          <w:rFonts w:ascii="Times New Roman" w:hAnsi="Times New Roman" w:cs="Times New Roman"/>
          <w:color w:val="auto"/>
        </w:rPr>
      </w:pPr>
    </w:p>
    <w:p w14:paraId="55B98CFA" w14:textId="68537237" w:rsidR="00FF131E" w:rsidRPr="001768EB" w:rsidRDefault="00FC2DC8" w:rsidP="00A6511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133A51C8" w14:textId="0EA13929" w:rsidR="00CF7FC9" w:rsidRDefault="00CF7FC9" w:rsidP="00CF7FC9">
      <w:pPr>
        <w:pStyle w:val="BodyTextIndent"/>
        <w:spacing w:line="259" w:lineRule="auto"/>
        <w:ind w:firstLine="706"/>
        <w:jc w:val="both"/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</w:pPr>
      <w:r w:rsidRPr="00F8742A"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 xml:space="preserve">Предвижда се доставка и монтаж на топлинна изолация за под към външен въздух от с ЕPS с графит- дебелина 10 </w:t>
      </w:r>
      <w:r w:rsidRPr="00F8742A">
        <w:rPr>
          <w:rFonts w:ascii="Times New Roman" w:eastAsiaTheme="minorHAnsi" w:hAnsi="Times New Roman" w:cs="Times New Roman"/>
          <w:color w:val="000000" w:themeColor="text1"/>
          <w:szCs w:val="24"/>
          <w:lang w:val="en-US" w:eastAsia="en-US"/>
        </w:rPr>
        <w:t>cm</w:t>
      </w:r>
      <w:r w:rsidRPr="00E12396"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коефициент на топлопроводност </w:t>
      </w:r>
      <w:r>
        <w:rPr>
          <w:rFonts w:ascii="GreekC" w:eastAsia="MS Mincho" w:hAnsi="GreekC" w:cs="GreekC"/>
          <w:color w:val="000000" w:themeColor="text1"/>
          <w:szCs w:val="24"/>
          <w:lang w:eastAsia="ja-JP"/>
        </w:rPr>
        <w:t>λ</w:t>
      </w:r>
      <w:r>
        <w:rPr>
          <w:rFonts w:ascii="Times New Roman" w:eastAsia="MS Mincho" w:hAnsi="Times New Roman" w:cs="Times New Roman"/>
          <w:color w:val="000000" w:themeColor="text1"/>
          <w:szCs w:val="24"/>
          <w:lang w:eastAsia="ja-JP"/>
        </w:rPr>
        <w:t xml:space="preserve">≤0,027 </w:t>
      </w:r>
      <w:r>
        <w:rPr>
          <w:rFonts w:ascii="Times New Roman" w:eastAsia="MS Mincho" w:hAnsi="Times New Roman" w:cs="Times New Roman"/>
          <w:color w:val="000000" w:themeColor="text1"/>
          <w:szCs w:val="24"/>
          <w:lang w:val="en-US" w:eastAsia="ja-JP"/>
        </w:rPr>
        <w:t>W/</w:t>
      </w:r>
      <w:proofErr w:type="spellStart"/>
      <w:r>
        <w:rPr>
          <w:rFonts w:ascii="Times New Roman" w:eastAsia="MS Mincho" w:hAnsi="Times New Roman" w:cs="Times New Roman"/>
          <w:color w:val="000000" w:themeColor="text1"/>
          <w:szCs w:val="24"/>
          <w:lang w:val="en-US" w:eastAsia="ja-JP"/>
        </w:rPr>
        <w:t>mK</w:t>
      </w:r>
      <w:proofErr w:type="spellEnd"/>
      <w:r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 xml:space="preserve"> </w:t>
      </w:r>
      <w:r w:rsidR="0092783F"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  <w:t>.</w:t>
      </w:r>
    </w:p>
    <w:p w14:paraId="3F601935" w14:textId="77777777" w:rsidR="00CF7FC9" w:rsidRPr="00E12396" w:rsidRDefault="00CF7FC9" w:rsidP="00CF7FC9">
      <w:pPr>
        <w:pStyle w:val="BodyTextIndent"/>
        <w:spacing w:line="259" w:lineRule="auto"/>
        <w:ind w:firstLine="706"/>
        <w:jc w:val="both"/>
        <w:rPr>
          <w:rFonts w:ascii="Times New Roman" w:eastAsiaTheme="minorHAnsi" w:hAnsi="Times New Roman" w:cs="Times New Roman"/>
          <w:color w:val="000000" w:themeColor="text1"/>
          <w:szCs w:val="24"/>
          <w:lang w:eastAsia="en-US"/>
        </w:rPr>
      </w:pPr>
    </w:p>
    <w:p w14:paraId="6987E188" w14:textId="313F1853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C10092">
        <w:rPr>
          <w:rFonts w:ascii="Times New Roman" w:hAnsi="Times New Roman" w:cs="Times New Roman"/>
          <w:b/>
          <w:i/>
          <w:sz w:val="24"/>
          <w:szCs w:val="24"/>
          <w:u w:val="single"/>
        </w:rPr>
        <w:t>Топлоизолация на покрив</w:t>
      </w:r>
    </w:p>
    <w:p w14:paraId="1CE41B3D" w14:textId="122ECD4B" w:rsidR="00C10092" w:rsidRDefault="00C10092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2E4BD4F" w14:textId="77777777" w:rsidR="0095289C" w:rsidRDefault="0095289C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80B71">
        <w:rPr>
          <w:rFonts w:ascii="Times New Roman" w:hAnsi="Times New Roman" w:cs="Times New Roman"/>
          <w:sz w:val="24"/>
          <w:szCs w:val="24"/>
        </w:rPr>
        <w:t xml:space="preserve">Конструкцията на покрива е стоманобетонна плоча - наклонена, двускатна. Същата излиза конзолно по три от фасадите на сградата. Четвъртата страна граничи с калкан /по-висок/ на съседната сграда. Плочата е с отвори за табакери по двата ската, осигуряващи осветление на таванските помещения. Покритието е с керамични </w:t>
      </w:r>
      <w:r w:rsidRPr="00F80B71">
        <w:rPr>
          <w:rFonts w:ascii="Times New Roman" w:hAnsi="Times New Roman" w:cs="Times New Roman"/>
          <w:sz w:val="24"/>
          <w:szCs w:val="24"/>
        </w:rPr>
        <w:lastRenderedPageBreak/>
        <w:t xml:space="preserve">керемиди. Отводняването е чрез улуци и външни водосточни тръби по две от фасадите. От долната страна, към таванските помещения, частично плочата е измазана. Табакерите са с единично армирано стъкло.  </w:t>
      </w:r>
      <w:r w:rsidR="00CF7FC9">
        <w:rPr>
          <w:rFonts w:ascii="Times New Roman" w:hAnsi="Times New Roman" w:cs="Times New Roman"/>
          <w:i/>
          <w:sz w:val="24"/>
          <w:szCs w:val="24"/>
        </w:rPr>
        <w:tab/>
      </w:r>
    </w:p>
    <w:p w14:paraId="14B59B87" w14:textId="36A56615" w:rsidR="00C10092" w:rsidRPr="000B14B6" w:rsidRDefault="0095289C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0B14B6" w:rsidRPr="000B14B6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B8E1CBA" w14:textId="51CF5F40" w:rsidR="00FD3A35" w:rsidRPr="0095289C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 xml:space="preserve">Мярката предвижда полагане на топлоизолационен материал твърда минерална вата дебелина 12 см, с λ≤0.038 W/mK. Топлоизолационният материал ще бъде положен в подпокривното пространство (топъл покрив). </w:t>
      </w:r>
    </w:p>
    <w:p w14:paraId="1EC1CE0C" w14:textId="6B11F8B0" w:rsidR="00FD3A35" w:rsidRDefault="00FD3A35" w:rsidP="00FD3A3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Мярката предвижда полагане на топлоизолационен материал от минерална вата на рула с дебелина 12 см и коефи</w:t>
      </w:r>
      <w:r w:rsidR="000F317C" w:rsidRPr="0095289C">
        <w:rPr>
          <w:rFonts w:ascii="Times New Roman" w:hAnsi="Times New Roman" w:cs="Times New Roman"/>
          <w:sz w:val="24"/>
          <w:szCs w:val="24"/>
        </w:rPr>
        <w:t>циент на топлопроводност λ≤0.03</w:t>
      </w:r>
      <w:r w:rsidR="00E14A3F">
        <w:rPr>
          <w:rFonts w:ascii="Times New Roman" w:hAnsi="Times New Roman" w:cs="Times New Roman"/>
          <w:sz w:val="24"/>
          <w:szCs w:val="24"/>
        </w:rPr>
        <w:t>8</w:t>
      </w:r>
      <w:r w:rsidRPr="0095289C">
        <w:rPr>
          <w:rFonts w:ascii="Times New Roman" w:hAnsi="Times New Roman" w:cs="Times New Roman"/>
          <w:sz w:val="24"/>
          <w:szCs w:val="24"/>
        </w:rPr>
        <w:t xml:space="preserve"> W/mK. Топлоизолационният материал ще бъде положен при покрив над остъкляем балкон.</w:t>
      </w:r>
      <w:r w:rsidR="000F317C" w:rsidRPr="0095289C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 д</w:t>
      </w:r>
      <w:r w:rsidRPr="0095289C">
        <w:rPr>
          <w:rFonts w:ascii="Times New Roman" w:hAnsi="Times New Roman" w:cs="Times New Roman"/>
          <w:sz w:val="24"/>
          <w:szCs w:val="24"/>
        </w:rPr>
        <w:t>оставка и монтаж гипсокартон δ=1.2 см от вътрешна страна покри</w:t>
      </w:r>
      <w:r w:rsidR="0095289C">
        <w:rPr>
          <w:rFonts w:ascii="Times New Roman" w:hAnsi="Times New Roman" w:cs="Times New Roman"/>
          <w:sz w:val="24"/>
          <w:szCs w:val="24"/>
        </w:rPr>
        <w:t>в балкон, вкл. шпакловка и боя;</w:t>
      </w:r>
    </w:p>
    <w:p w14:paraId="30A858BD" w14:textId="77777777" w:rsidR="0095289C" w:rsidRDefault="0095289C" w:rsidP="0095289C">
      <w:pPr>
        <w:tabs>
          <w:tab w:val="left" w:pos="709"/>
          <w:tab w:val="left" w:pos="633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Като съпътстващи мерки са предвидени: </w:t>
      </w:r>
    </w:p>
    <w:p w14:paraId="4D25D9FD" w14:textId="40ED95FC" w:rsidR="0095289C" w:rsidRPr="0095289C" w:rsidRDefault="0095289C" w:rsidP="0095289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 xml:space="preserve">монтаж на дървена гредова скара 8/12 см, анкерирана към стоманобетонната плоча; монтаж на твърда минерална вата δ=12 см с коефициент на топлопроводност λ=0,038W/mK между гредите; подкеремидена хидроизолационна мембрана и двойна летвена скара за монтаж на керемиди; нови табакери със стъклопакет; възстановяване и измазване на комини; нови ламаринени обшивки. </w:t>
      </w:r>
    </w:p>
    <w:p w14:paraId="7255F9F3" w14:textId="261460AC" w:rsidR="0095289C" w:rsidRPr="00746CA9" w:rsidRDefault="0095289C" w:rsidP="00CF700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6CA9">
        <w:rPr>
          <w:rFonts w:ascii="Times New Roman" w:hAnsi="Times New Roman" w:cs="Times New Roman"/>
          <w:sz w:val="24"/>
          <w:szCs w:val="24"/>
        </w:rPr>
        <w:t>Доставка и монтаж на челни дъски по стрехи:</w:t>
      </w:r>
    </w:p>
    <w:p w14:paraId="6762E579" w14:textId="189C3185" w:rsidR="0095289C" w:rsidRPr="0095289C" w:rsidRDefault="0095289C" w:rsidP="0095289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Доставка и подмяна на олуци и водосточни тръби</w:t>
      </w:r>
    </w:p>
    <w:p w14:paraId="580A3915" w14:textId="5849705B" w:rsidR="0095289C" w:rsidRDefault="0095289C" w:rsidP="0095289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289C">
        <w:rPr>
          <w:rFonts w:ascii="Times New Roman" w:hAnsi="Times New Roman" w:cs="Times New Roman"/>
          <w:sz w:val="24"/>
          <w:szCs w:val="24"/>
        </w:rPr>
        <w:t>Обшивка на бордове, шапки на комини и надолучни поли с поцинкована ламарина;</w:t>
      </w:r>
    </w:p>
    <w:p w14:paraId="73B2456E" w14:textId="191E7D22" w:rsidR="0095289C" w:rsidRPr="0095289C" w:rsidRDefault="0095289C" w:rsidP="0095289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Монтаране на нови мълниезащитна и заземителна инсталации</w:t>
      </w:r>
    </w:p>
    <w:p w14:paraId="22DE9F03" w14:textId="77777777" w:rsidR="008A72F5" w:rsidRPr="008A72F5" w:rsidRDefault="008A72F5" w:rsidP="008A72F5">
      <w:pPr>
        <w:pStyle w:val="BodyTextIndent"/>
        <w:ind w:firstLine="709"/>
        <w:jc w:val="both"/>
        <w:rPr>
          <w:rFonts w:ascii="Times New Roman" w:eastAsiaTheme="minorHAnsi" w:hAnsi="Times New Roman" w:cs="Times New Roman"/>
          <w:szCs w:val="24"/>
          <w:lang w:val="en-US" w:eastAsia="en-US"/>
        </w:rPr>
      </w:pPr>
    </w:p>
    <w:p w14:paraId="424255F3" w14:textId="35D5B7C4" w:rsidR="00590ED1" w:rsidRPr="00FF131E" w:rsidRDefault="000173C5" w:rsidP="008A72F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590ED1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 w:rsidR="00590ED1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590ED1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="00590ED1" w:rsidRPr="00590ED1">
        <w:rPr>
          <w:rFonts w:ascii="Times New Roman" w:hAnsi="Times New Roman" w:cs="Times New Roman"/>
          <w:b/>
          <w:i/>
          <w:sz w:val="24"/>
          <w:szCs w:val="24"/>
          <w:u w:val="single"/>
        </w:rPr>
        <w:t>Въвеждане на енергоспестяващо осветление в общите части на сградата</w:t>
      </w:r>
    </w:p>
    <w:p w14:paraId="50555D7D" w14:textId="5E66A1A9" w:rsidR="00590ED1" w:rsidRPr="00590ED1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82C4751" w14:textId="3CEDC4E5" w:rsidR="00590ED1" w:rsidRPr="00D4108A" w:rsidRDefault="00590ED1" w:rsidP="0048238B">
      <w:pPr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8238B" w:rsidRPr="0091538D">
        <w:rPr>
          <w:rFonts w:ascii="Times New Roman" w:hAnsi="Times New Roman" w:cs="Times New Roman"/>
          <w:sz w:val="24"/>
          <w:szCs w:val="24"/>
        </w:rPr>
        <w:t xml:space="preserve">Осветителната уредба е изпълнена според съществуващата към момента на построяването на сградата нормативна база и са извършвани частични ремонти и подобрения. В </w:t>
      </w:r>
      <w:r w:rsidR="0048238B">
        <w:rPr>
          <w:rFonts w:ascii="Times New Roman" w:hAnsi="Times New Roman" w:cs="Times New Roman"/>
          <w:sz w:val="24"/>
          <w:szCs w:val="24"/>
        </w:rPr>
        <w:t>общите части не</w:t>
      </w:r>
      <w:r w:rsidR="0048238B" w:rsidRPr="0091538D">
        <w:rPr>
          <w:rFonts w:ascii="Times New Roman" w:hAnsi="Times New Roman" w:cs="Times New Roman"/>
          <w:sz w:val="24"/>
          <w:szCs w:val="24"/>
        </w:rPr>
        <w:t xml:space="preserve"> се използват ене</w:t>
      </w:r>
      <w:r w:rsidR="0048238B">
        <w:rPr>
          <w:rFonts w:ascii="Times New Roman" w:hAnsi="Times New Roman" w:cs="Times New Roman"/>
          <w:sz w:val="24"/>
          <w:szCs w:val="24"/>
        </w:rPr>
        <w:t>рго спестяващи осветителни тела.</w:t>
      </w:r>
    </w:p>
    <w:p w14:paraId="15B8CF3C" w14:textId="77777777" w:rsidR="00590ED1" w:rsidRPr="00D4108A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60D960E" w14:textId="600EEE3D" w:rsidR="00590ED1" w:rsidRDefault="00590ED1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П</w:t>
      </w:r>
      <w:r w:rsidRPr="00590ED1">
        <w:rPr>
          <w:rFonts w:ascii="Times New Roman" w:hAnsi="Times New Roman" w:cs="Times New Roman"/>
          <w:sz w:val="24"/>
          <w:szCs w:val="24"/>
        </w:rPr>
        <w:t xml:space="preserve">редвижда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590ED1">
        <w:rPr>
          <w:rFonts w:ascii="Times New Roman" w:hAnsi="Times New Roman" w:cs="Times New Roman"/>
          <w:sz w:val="24"/>
          <w:szCs w:val="24"/>
        </w:rPr>
        <w:t>подмяната на съществуващите осветителни тела с нажежаема жичка с нови – енергоспестяващи осветителни тела. Новите осветителни тела ще отговарят на изискванията на действащите норми за изкуствено осветление в общите части на сградата.</w:t>
      </w:r>
    </w:p>
    <w:p w14:paraId="3B536F9D" w14:textId="450E6D23" w:rsidR="0095289C" w:rsidRPr="0095289C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95289C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6: Подмяна на топлообменника за БГВ;</w:t>
      </w:r>
    </w:p>
    <w:p w14:paraId="339B1077" w14:textId="77777777" w:rsidR="0095289C" w:rsidRPr="00590ED1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D3739B" w14:textId="77777777" w:rsidR="0095289C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A7D52">
        <w:rPr>
          <w:rFonts w:ascii="Times New Roman" w:hAnsi="Times New Roman" w:cs="Times New Roman"/>
          <w:sz w:val="24"/>
          <w:szCs w:val="24"/>
        </w:rPr>
        <w:t>В сградата има изградена</w:t>
      </w:r>
      <w:r>
        <w:rPr>
          <w:rFonts w:ascii="Times New Roman" w:hAnsi="Times New Roman" w:cs="Times New Roman"/>
          <w:sz w:val="24"/>
          <w:szCs w:val="24"/>
        </w:rPr>
        <w:t xml:space="preserve"> инсталация за топла вода</w:t>
      </w:r>
      <w:r w:rsidRPr="001A7D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7D52">
        <w:rPr>
          <w:rFonts w:ascii="Times New Roman" w:hAnsi="Times New Roman" w:cs="Times New Roman"/>
          <w:sz w:val="24"/>
          <w:szCs w:val="24"/>
        </w:rPr>
        <w:t>Снабдяването с необходимото количество се осъществява от  абонатната станция, през пластинчат топлообменник. Монтиран е общ водомер пред топлообменника за БГВ. Хоризонталната тръбна разводка в сутерена е изпълнени с поцинковани тръби. Липсва изолация по вертикалните тръбопроводи, монтирани във вертикални шахти. Това води до загуба на топлинна енергия от топлообмен с околния въздух.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7D52">
        <w:rPr>
          <w:rFonts w:ascii="Times New Roman" w:hAnsi="Times New Roman" w:cs="Times New Roman"/>
          <w:sz w:val="24"/>
          <w:szCs w:val="24"/>
        </w:rPr>
        <w:t xml:space="preserve">апартаментното отчитане на консумираните количества топла вода става с персонални водомери.  </w:t>
      </w:r>
    </w:p>
    <w:p w14:paraId="7106DAFF" w14:textId="77777777" w:rsidR="0095289C" w:rsidRPr="00D4108A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F0C52BD" w14:textId="77777777" w:rsidR="0095289C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80B71">
        <w:rPr>
          <w:rFonts w:ascii="Times New Roman" w:hAnsi="Times New Roman" w:cs="Times New Roman"/>
          <w:sz w:val="24"/>
          <w:szCs w:val="24"/>
        </w:rPr>
        <w:t>Мярката предвижда демонтаж на съществуващия пластинчат топлообменник, доставка и монтаж на нов с фабрична топлоизолация и необходмата терморегулираща и спирателна арматура.</w:t>
      </w:r>
    </w:p>
    <w:p w14:paraId="06CED7EF" w14:textId="52846115" w:rsidR="0095289C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7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F80B7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Подмяна на отоплителна инсталация </w:t>
      </w:r>
    </w:p>
    <w:p w14:paraId="483E92F0" w14:textId="77777777" w:rsidR="0095289C" w:rsidRPr="00590ED1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397D3FC" w14:textId="77777777" w:rsidR="0095289C" w:rsidRPr="00D4108A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A7D52">
        <w:rPr>
          <w:rFonts w:ascii="Times New Roman" w:hAnsi="Times New Roman" w:cs="Times New Roman"/>
          <w:sz w:val="24"/>
          <w:szCs w:val="24"/>
        </w:rPr>
        <w:t xml:space="preserve">Сградата се захранва с топлоносител от ТЕЦ. В сутерена е обособена абонатна станция. Използва се индиректна абонатна станция, изпълнена с пластинчати топлообменници. Циркулационната помпа е "Grundfos" UPE 28-80, с   N=0.04-0.25kW. Монтиран е затворен разширителен съд. Тръбната разводка е изпълнена от черни газови тръби, топлинно изолирани. Отоплителната инсталация е с топлоносител вода 90/70ºС. Разпределителната мрежа е по системата "Тихелман", изпълнена с черни газови тръби. Същата е изолирана с въже стъклена вата с  ленти. На места топлинната изолация е нарушена.  Това води до загуба на топлинна енергия.  Отоплителните тела преобладаващо са чугунени радиатори. В няколко апартамента са подменени с алуминиеви радиатори. Обезвъздушаването е централно с обезвъздушителна линия и въздухосборник в таванския етаж. Предвижда се по желание на собствениците отоплителната инсталация да се преработи на такава с един вертикален щранг, апартаментни колекторни кутии и индивидуално мерене по апартаменти. Чугунените </w:t>
      </w:r>
      <w:r w:rsidRPr="001A7D52">
        <w:rPr>
          <w:rFonts w:ascii="Times New Roman" w:hAnsi="Times New Roman" w:cs="Times New Roman"/>
          <w:sz w:val="24"/>
          <w:szCs w:val="24"/>
        </w:rPr>
        <w:lastRenderedPageBreak/>
        <w:t>отоплителни  тела да се подменят с алуминиеви с радиаторни вентили с термоглава и автоматични обезвъздушители на всеки. По този начин пътя до вертикалния щранг се скъсява  и ще се избегнат загубите на топлинна енергия при преминаване през неотопляемите помещения на дългата разпределителна мрежа</w:t>
      </w:r>
    </w:p>
    <w:p w14:paraId="12AC3960" w14:textId="77777777" w:rsidR="0095289C" w:rsidRPr="00D4108A" w:rsidRDefault="0095289C" w:rsidP="0095289C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4340814B" w14:textId="27B65106" w:rsidR="0095289C" w:rsidRDefault="0095289C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80B71">
        <w:rPr>
          <w:rFonts w:ascii="Times New Roman" w:hAnsi="Times New Roman" w:cs="Times New Roman"/>
          <w:sz w:val="24"/>
          <w:szCs w:val="24"/>
        </w:rPr>
        <w:t>Мярката предвижда демонтаж на съществуващата отоплителна инсталация, доставка и монтаж на нова инсталация- тръбна разводка, отоплителни тела с необходмата терморегулираща и спирателна арматура.</w:t>
      </w:r>
    </w:p>
    <w:p w14:paraId="184F0E13" w14:textId="77777777" w:rsidR="00BB2593" w:rsidRDefault="00BB2593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BDBBFE7" w14:textId="77777777" w:rsidR="00BB2593" w:rsidRDefault="00BB2593" w:rsidP="00590ED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11CD4A5F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0BAAE685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365A4526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Електро;</w:t>
      </w:r>
    </w:p>
    <w:p w14:paraId="401B8B8F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7BC5D519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6F8D0C5A" w14:textId="77777777" w:rsidR="005815A6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111FC4AC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0AC8A439" w14:textId="77777777" w:rsidR="005815A6" w:rsidRPr="00DD72B7" w:rsidRDefault="005815A6" w:rsidP="005815A6">
      <w:pPr>
        <w:pStyle w:val="ListParagraph"/>
        <w:numPr>
          <w:ilvl w:val="0"/>
          <w:numId w:val="1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72B7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5C3653CF" w14:textId="4C0B9B4C" w:rsidR="00E91212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2E60B1BC" w14:textId="77777777" w:rsidR="003D3162" w:rsidRDefault="003D316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74ECBD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17A8388F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6926BEA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06F88B2E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0888E6F7" w:rsidR="0078357E" w:rsidRPr="00FF131E" w:rsidRDefault="00590ED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13BD257F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</w:t>
      </w:r>
      <w:r w:rsidR="005E4B04">
        <w:rPr>
          <w:rFonts w:ascii="Times New Roman" w:hAnsi="Times New Roman" w:cs="Times New Roman"/>
          <w:sz w:val="24"/>
          <w:szCs w:val="24"/>
        </w:rPr>
        <w:t>формацията изискуема от точки 11, 12 и 13</w:t>
      </w:r>
      <w:r w:rsidRPr="00FF131E">
        <w:rPr>
          <w:rFonts w:ascii="Times New Roman" w:hAnsi="Times New Roman" w:cs="Times New Roman"/>
          <w:sz w:val="24"/>
          <w:szCs w:val="24"/>
        </w:rPr>
        <w:t xml:space="preserve"> трябва да заема поне 25% от цялата табела. Информацията по т. 5 трябва да заема не повече от 25% от цялата табела.</w:t>
      </w:r>
    </w:p>
    <w:p w14:paraId="4E8F347D" w14:textId="77777777" w:rsidR="003D3162" w:rsidRDefault="003D316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DD8C47" w14:textId="77777777" w:rsidR="003D3162" w:rsidRDefault="003D316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5B7D12" w14:textId="77777777" w:rsidR="003D3162" w:rsidRDefault="003D316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DA105A" w14:textId="77777777" w:rsidR="003D3162" w:rsidRDefault="003D316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B22D5B" w14:textId="77777777" w:rsidR="003D3162" w:rsidRDefault="003D316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282BBAD" w14:textId="77777777" w:rsidR="003D3162" w:rsidRDefault="003D316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66977E" w14:textId="77777777" w:rsidR="003D3162" w:rsidRDefault="003D3162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6ACC338B" w14:textId="77777777" w:rsidR="00590ED1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926889B" w14:textId="77777777" w:rsidR="00A67CA5" w:rsidRPr="00163739" w:rsidRDefault="00A67CA5" w:rsidP="00A67CA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5. МЯСТО ЗА ИЗПЪЛНЕНИЕ НА ПОРЪЧКАТА</w:t>
      </w:r>
    </w:p>
    <w:p w14:paraId="6FF751B2" w14:textId="77777777" w:rsidR="00BB2593" w:rsidRDefault="00A67CA5" w:rsidP="00BB259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2593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BB2593" w:rsidRPr="00B03D01">
        <w:rPr>
          <w:rFonts w:ascii="Times New Roman" w:hAnsi="Times New Roman" w:cs="Times New Roman"/>
          <w:sz w:val="24"/>
          <w:szCs w:val="24"/>
        </w:rPr>
        <w:t>гр. Плевен, ул. „Генерал Колев” № 33</w:t>
      </w:r>
      <w:r w:rsidR="00BB2593">
        <w:rPr>
          <w:rFonts w:ascii="Times New Roman" w:hAnsi="Times New Roman" w:cs="Times New Roman"/>
          <w:sz w:val="24"/>
          <w:szCs w:val="24"/>
        </w:rPr>
        <w:t>.</w:t>
      </w:r>
      <w:r w:rsidR="00BB2593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1664D2" w14:textId="0E626632" w:rsidR="00A67CA5" w:rsidRDefault="005815A6" w:rsidP="000408AC">
      <w:pPr>
        <w:tabs>
          <w:tab w:val="left" w:pos="709"/>
          <w:tab w:val="left" w:pos="6330"/>
        </w:tabs>
        <w:jc w:val="both"/>
        <w:rPr>
          <w:lang w:val="ru-RU" w:eastAsia="ar-SA"/>
        </w:rPr>
        <w:sectPr w:rsidR="00A67CA5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F131E">
        <w:rPr>
          <w:rFonts w:ascii="Times New Roman" w:hAnsi="Times New Roman" w:cs="Times New Roman"/>
          <w:sz w:val="24"/>
          <w:szCs w:val="24"/>
        </w:rPr>
        <w:t>.</w:t>
      </w:r>
    </w:p>
    <w:p w14:paraId="22C96919" w14:textId="7D4568A3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7F216BEE" w14:textId="71FEA762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B3743D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590ED1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6383C9CB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BF55FD">
        <w:rPr>
          <w:rFonts w:ascii="Times New Roman" w:hAnsi="Times New Roman" w:cs="Times New Roman"/>
          <w:sz w:val="24"/>
          <w:szCs w:val="24"/>
        </w:rPr>
        <w:t>75</w:t>
      </w:r>
      <w:r w:rsidR="009D0DFA">
        <w:rPr>
          <w:rFonts w:ascii="Times New Roman" w:hAnsi="Times New Roman" w:cs="Times New Roman"/>
          <w:sz w:val="24"/>
          <w:szCs w:val="24"/>
        </w:rPr>
        <w:t> </w:t>
      </w:r>
      <w:r w:rsidR="00BF55FD">
        <w:rPr>
          <w:rFonts w:ascii="Times New Roman" w:hAnsi="Times New Roman" w:cs="Times New Roman"/>
          <w:sz w:val="24"/>
          <w:szCs w:val="24"/>
        </w:rPr>
        <w:t>1</w:t>
      </w:r>
      <w:r w:rsidR="00C40816">
        <w:rPr>
          <w:rFonts w:ascii="Times New Roman" w:hAnsi="Times New Roman" w:cs="Times New Roman"/>
          <w:sz w:val="24"/>
          <w:szCs w:val="24"/>
        </w:rPr>
        <w:t>4</w:t>
      </w:r>
      <w:r w:rsidR="00BF55FD">
        <w:rPr>
          <w:rFonts w:ascii="Times New Roman" w:hAnsi="Times New Roman" w:cs="Times New Roman"/>
          <w:sz w:val="24"/>
          <w:szCs w:val="24"/>
        </w:rPr>
        <w:t>0</w:t>
      </w:r>
      <w:r w:rsidR="00644C22">
        <w:rPr>
          <w:rFonts w:ascii="Times New Roman" w:hAnsi="Times New Roman" w:cs="Times New Roman"/>
          <w:sz w:val="24"/>
          <w:szCs w:val="24"/>
        </w:rPr>
        <w:t>,</w:t>
      </w:r>
      <w:r w:rsidR="00BF55FD">
        <w:rPr>
          <w:rFonts w:ascii="Times New Roman" w:hAnsi="Times New Roman" w:cs="Times New Roman"/>
          <w:sz w:val="24"/>
          <w:szCs w:val="24"/>
        </w:rPr>
        <w:t>55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0709F28C" w14:textId="5392D250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B2593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BB2593" w:rsidRPr="00B03D01">
        <w:rPr>
          <w:rFonts w:ascii="Times New Roman" w:hAnsi="Times New Roman" w:cs="Times New Roman"/>
          <w:sz w:val="24"/>
          <w:szCs w:val="24"/>
        </w:rPr>
        <w:t>гр. Плевен, ул. „Генерал Колев” № 33</w:t>
      </w:r>
      <w:r w:rsidR="00BB259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285FE" w14:textId="77777777" w:rsidR="00294F75" w:rsidRDefault="00294F75" w:rsidP="007E3B86">
      <w:pPr>
        <w:spacing w:after="0" w:line="240" w:lineRule="auto"/>
      </w:pPr>
      <w:r>
        <w:separator/>
      </w:r>
    </w:p>
  </w:endnote>
  <w:endnote w:type="continuationSeparator" w:id="0">
    <w:p w14:paraId="39E638E0" w14:textId="77777777" w:rsidR="00294F75" w:rsidRDefault="00294F75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reekC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4D876" w14:textId="2D9114DD" w:rsidR="00590ED1" w:rsidRPr="00590ED1" w:rsidRDefault="00590ED1">
    <w:pPr>
      <w:pStyle w:val="Footer"/>
      <w:rPr>
        <w:sz w:val="16"/>
        <w:szCs w:val="16"/>
      </w:rPr>
    </w:pPr>
    <w:r w:rsidRPr="00590ED1">
      <w:rPr>
        <w:rStyle w:val="FootnoteReference"/>
        <w:sz w:val="16"/>
        <w:szCs w:val="16"/>
      </w:rPr>
      <w:footnoteRef/>
    </w:r>
    <w:r w:rsidRPr="00590ED1">
      <w:rPr>
        <w:sz w:val="16"/>
        <w:szCs w:val="16"/>
      </w:rPr>
      <w:t xml:space="preserve"> </w:t>
    </w:r>
    <w:r w:rsidRPr="00590ED1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25F3CA5" w14:textId="77777777" w:rsidR="00590ED1" w:rsidRDefault="00590ED1">
    <w:pPr>
      <w:pStyle w:val="Footer"/>
    </w:pPr>
    <w:r w:rsidRPr="00B96C8F">
      <w:rPr>
        <w:noProof/>
        <w:lang w:eastAsia="bg-BG"/>
      </w:rPr>
      <w:drawing>
        <wp:inline distT="0" distB="0" distL="0" distR="0" wp14:anchorId="77965CCA" wp14:editId="5E72B208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64449" w14:textId="77777777" w:rsidR="00590ED1" w:rsidRPr="007E3B86" w:rsidRDefault="00590ED1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86EA" w14:textId="77777777" w:rsidR="00294F75" w:rsidRDefault="00294F75" w:rsidP="007E3B86">
      <w:pPr>
        <w:spacing w:after="0" w:line="240" w:lineRule="auto"/>
      </w:pPr>
      <w:r>
        <w:separator/>
      </w:r>
    </w:p>
  </w:footnote>
  <w:footnote w:type="continuationSeparator" w:id="0">
    <w:p w14:paraId="368D333C" w14:textId="77777777" w:rsidR="00294F75" w:rsidRDefault="00294F75" w:rsidP="007E3B86">
      <w:pPr>
        <w:spacing w:after="0" w:line="240" w:lineRule="auto"/>
      </w:pPr>
      <w:r>
        <w:continuationSeparator/>
      </w:r>
    </w:p>
  </w:footnote>
  <w:footnote w:id="1">
    <w:p w14:paraId="36724BB5" w14:textId="0B32BD47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23FF5"/>
    <w:multiLevelType w:val="hybridMultilevel"/>
    <w:tmpl w:val="9906212C"/>
    <w:lvl w:ilvl="0" w:tplc="5206339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429D5"/>
    <w:multiLevelType w:val="hybridMultilevel"/>
    <w:tmpl w:val="1480E80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667731"/>
    <w:multiLevelType w:val="hybridMultilevel"/>
    <w:tmpl w:val="EFAE70F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886F11"/>
    <w:multiLevelType w:val="hybridMultilevel"/>
    <w:tmpl w:val="68748C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27783"/>
    <w:multiLevelType w:val="hybridMultilevel"/>
    <w:tmpl w:val="6CB85136"/>
    <w:lvl w:ilvl="0" w:tplc="5E0E9DD4">
      <w:start w:val="2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B8681B"/>
    <w:multiLevelType w:val="hybridMultilevel"/>
    <w:tmpl w:val="365E22AC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12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BE173F"/>
    <w:multiLevelType w:val="hybridMultilevel"/>
    <w:tmpl w:val="A51253EA"/>
    <w:lvl w:ilvl="0" w:tplc="CC98576E">
      <w:start w:val="1"/>
      <w:numFmt w:val="decimal"/>
      <w:pStyle w:val="Arial-11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AC13CCD"/>
    <w:multiLevelType w:val="hybridMultilevel"/>
    <w:tmpl w:val="84A079CE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6B4449"/>
    <w:multiLevelType w:val="hybridMultilevel"/>
    <w:tmpl w:val="CA26BBF4"/>
    <w:lvl w:ilvl="0" w:tplc="317E09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A2D6363"/>
    <w:multiLevelType w:val="hybridMultilevel"/>
    <w:tmpl w:val="19D8B40A"/>
    <w:lvl w:ilvl="0" w:tplc="5E0E9DD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722571"/>
    <w:multiLevelType w:val="hybridMultilevel"/>
    <w:tmpl w:val="4874089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10"/>
  </w:num>
  <w:num w:numId="5">
    <w:abstractNumId w:val="12"/>
  </w:num>
  <w:num w:numId="6">
    <w:abstractNumId w:val="5"/>
  </w:num>
  <w:num w:numId="7">
    <w:abstractNumId w:val="8"/>
  </w:num>
  <w:num w:numId="8">
    <w:abstractNumId w:val="11"/>
  </w:num>
  <w:num w:numId="9">
    <w:abstractNumId w:val="19"/>
  </w:num>
  <w:num w:numId="10">
    <w:abstractNumId w:val="2"/>
  </w:num>
  <w:num w:numId="11">
    <w:abstractNumId w:val="1"/>
  </w:num>
  <w:num w:numId="12">
    <w:abstractNumId w:val="13"/>
  </w:num>
  <w:num w:numId="13">
    <w:abstractNumId w:val="9"/>
  </w:num>
  <w:num w:numId="14">
    <w:abstractNumId w:val="14"/>
  </w:num>
  <w:num w:numId="15">
    <w:abstractNumId w:val="16"/>
  </w:num>
  <w:num w:numId="16">
    <w:abstractNumId w:val="17"/>
  </w:num>
  <w:num w:numId="17">
    <w:abstractNumId w:val="6"/>
  </w:num>
  <w:num w:numId="18">
    <w:abstractNumId w:val="3"/>
  </w:num>
  <w:num w:numId="19">
    <w:abstractNumId w:val="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173C5"/>
    <w:rsid w:val="00032FD5"/>
    <w:rsid w:val="00035AC5"/>
    <w:rsid w:val="00035D29"/>
    <w:rsid w:val="000408AC"/>
    <w:rsid w:val="00044861"/>
    <w:rsid w:val="00062813"/>
    <w:rsid w:val="000B14B6"/>
    <w:rsid w:val="000D333B"/>
    <w:rsid w:val="000D4A21"/>
    <w:rsid w:val="000E36B9"/>
    <w:rsid w:val="000E7524"/>
    <w:rsid w:val="000F317C"/>
    <w:rsid w:val="000F37F7"/>
    <w:rsid w:val="000F5ACE"/>
    <w:rsid w:val="001315C0"/>
    <w:rsid w:val="00163739"/>
    <w:rsid w:val="00175D15"/>
    <w:rsid w:val="001768EB"/>
    <w:rsid w:val="00185306"/>
    <w:rsid w:val="001C5AF2"/>
    <w:rsid w:val="001E6160"/>
    <w:rsid w:val="001F414C"/>
    <w:rsid w:val="00202B2F"/>
    <w:rsid w:val="00230DC4"/>
    <w:rsid w:val="00231D9D"/>
    <w:rsid w:val="00245141"/>
    <w:rsid w:val="00255D0A"/>
    <w:rsid w:val="002561DD"/>
    <w:rsid w:val="002620EA"/>
    <w:rsid w:val="002673FB"/>
    <w:rsid w:val="00281A63"/>
    <w:rsid w:val="002926AB"/>
    <w:rsid w:val="0029386F"/>
    <w:rsid w:val="00294267"/>
    <w:rsid w:val="00294F75"/>
    <w:rsid w:val="00296D92"/>
    <w:rsid w:val="002A7A91"/>
    <w:rsid w:val="002B7327"/>
    <w:rsid w:val="002D41AC"/>
    <w:rsid w:val="003060A0"/>
    <w:rsid w:val="00313E19"/>
    <w:rsid w:val="00353ABC"/>
    <w:rsid w:val="00356174"/>
    <w:rsid w:val="003D1D9F"/>
    <w:rsid w:val="003D3162"/>
    <w:rsid w:val="003F133A"/>
    <w:rsid w:val="00401C85"/>
    <w:rsid w:val="00415E25"/>
    <w:rsid w:val="00427854"/>
    <w:rsid w:val="00476F44"/>
    <w:rsid w:val="0048238B"/>
    <w:rsid w:val="004D12C6"/>
    <w:rsid w:val="004E3B40"/>
    <w:rsid w:val="004E509E"/>
    <w:rsid w:val="004F6F1B"/>
    <w:rsid w:val="0050681D"/>
    <w:rsid w:val="00523429"/>
    <w:rsid w:val="00543A55"/>
    <w:rsid w:val="00565FB8"/>
    <w:rsid w:val="00571D17"/>
    <w:rsid w:val="005815A6"/>
    <w:rsid w:val="005822D1"/>
    <w:rsid w:val="005858A7"/>
    <w:rsid w:val="00590E7D"/>
    <w:rsid w:val="00590ED1"/>
    <w:rsid w:val="005C5C85"/>
    <w:rsid w:val="005C751F"/>
    <w:rsid w:val="005E4B04"/>
    <w:rsid w:val="00644C22"/>
    <w:rsid w:val="006710D8"/>
    <w:rsid w:val="00680001"/>
    <w:rsid w:val="006B7DB3"/>
    <w:rsid w:val="006C24D0"/>
    <w:rsid w:val="006C4851"/>
    <w:rsid w:val="006E23DB"/>
    <w:rsid w:val="006E664D"/>
    <w:rsid w:val="007126E9"/>
    <w:rsid w:val="00733392"/>
    <w:rsid w:val="00746CA9"/>
    <w:rsid w:val="00774751"/>
    <w:rsid w:val="00774E2B"/>
    <w:rsid w:val="0078357E"/>
    <w:rsid w:val="007D78E0"/>
    <w:rsid w:val="007E3B86"/>
    <w:rsid w:val="008223DE"/>
    <w:rsid w:val="00844A27"/>
    <w:rsid w:val="008706D3"/>
    <w:rsid w:val="00885B05"/>
    <w:rsid w:val="008A022A"/>
    <w:rsid w:val="008A72F5"/>
    <w:rsid w:val="008F6CC9"/>
    <w:rsid w:val="0092783F"/>
    <w:rsid w:val="0095289C"/>
    <w:rsid w:val="0099209D"/>
    <w:rsid w:val="009D0DFA"/>
    <w:rsid w:val="00A14C4C"/>
    <w:rsid w:val="00A42CA1"/>
    <w:rsid w:val="00A56725"/>
    <w:rsid w:val="00A65113"/>
    <w:rsid w:val="00A67CA5"/>
    <w:rsid w:val="00A76BC2"/>
    <w:rsid w:val="00A81DD6"/>
    <w:rsid w:val="00A92C7E"/>
    <w:rsid w:val="00AC5990"/>
    <w:rsid w:val="00AD449B"/>
    <w:rsid w:val="00AE0F5A"/>
    <w:rsid w:val="00AE7FE6"/>
    <w:rsid w:val="00B84FB9"/>
    <w:rsid w:val="00B87CA7"/>
    <w:rsid w:val="00BB2593"/>
    <w:rsid w:val="00BE38A4"/>
    <w:rsid w:val="00BF55FD"/>
    <w:rsid w:val="00C10092"/>
    <w:rsid w:val="00C13E95"/>
    <w:rsid w:val="00C24772"/>
    <w:rsid w:val="00C27C97"/>
    <w:rsid w:val="00C40816"/>
    <w:rsid w:val="00C453F6"/>
    <w:rsid w:val="00C53C7E"/>
    <w:rsid w:val="00C62861"/>
    <w:rsid w:val="00C66637"/>
    <w:rsid w:val="00C827CA"/>
    <w:rsid w:val="00C83AF3"/>
    <w:rsid w:val="00C954FD"/>
    <w:rsid w:val="00CD3A19"/>
    <w:rsid w:val="00CF7FC9"/>
    <w:rsid w:val="00D24467"/>
    <w:rsid w:val="00D4108A"/>
    <w:rsid w:val="00D51147"/>
    <w:rsid w:val="00D86017"/>
    <w:rsid w:val="00DB49C1"/>
    <w:rsid w:val="00DB55A6"/>
    <w:rsid w:val="00DC76E2"/>
    <w:rsid w:val="00E10909"/>
    <w:rsid w:val="00E14A3F"/>
    <w:rsid w:val="00E46E84"/>
    <w:rsid w:val="00E613C5"/>
    <w:rsid w:val="00E7651E"/>
    <w:rsid w:val="00E91212"/>
    <w:rsid w:val="00EA2243"/>
    <w:rsid w:val="00EA5BB4"/>
    <w:rsid w:val="00EB02AC"/>
    <w:rsid w:val="00EC0F1D"/>
    <w:rsid w:val="00EF24FA"/>
    <w:rsid w:val="00F0414E"/>
    <w:rsid w:val="00F20C71"/>
    <w:rsid w:val="00F227C5"/>
    <w:rsid w:val="00F2478E"/>
    <w:rsid w:val="00F66798"/>
    <w:rsid w:val="00F86BAA"/>
    <w:rsid w:val="00F86FCE"/>
    <w:rsid w:val="00F92CF7"/>
    <w:rsid w:val="00F95471"/>
    <w:rsid w:val="00F967D5"/>
    <w:rsid w:val="00FA17A2"/>
    <w:rsid w:val="00FC2DC8"/>
    <w:rsid w:val="00FD3479"/>
    <w:rsid w:val="00FD3A35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17C9207B"/>
  <w15:docId w15:val="{EA72D7EF-2AFC-4E43-95BB-EBE3A26BD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C5C85"/>
    <w:rPr>
      <w:color w:val="808080"/>
    </w:rPr>
  </w:style>
  <w:style w:type="paragraph" w:customStyle="1" w:styleId="Arial-11">
    <w:name w:val="Arial - 11"/>
    <w:basedOn w:val="Normal"/>
    <w:link w:val="Arial-11Char"/>
    <w:qFormat/>
    <w:rsid w:val="0029386F"/>
    <w:pPr>
      <w:numPr>
        <w:numId w:val="12"/>
      </w:numPr>
      <w:spacing w:after="0" w:line="240" w:lineRule="auto"/>
    </w:pPr>
    <w:rPr>
      <w:rFonts w:ascii="Arial" w:eastAsia="MS Mincho" w:hAnsi="Arial" w:cs="Arial"/>
      <w:color w:val="000000"/>
      <w:lang w:eastAsia="ja-JP"/>
    </w:rPr>
  </w:style>
  <w:style w:type="character" w:customStyle="1" w:styleId="Arial-11Char">
    <w:name w:val="Arial - 11 Char"/>
    <w:link w:val="Arial-11"/>
    <w:rsid w:val="0029386F"/>
    <w:rPr>
      <w:rFonts w:ascii="Arial" w:eastAsia="MS Mincho" w:hAnsi="Arial" w:cs="Arial"/>
      <w:color w:val="000000"/>
      <w:lang w:eastAsia="ja-JP"/>
    </w:rPr>
  </w:style>
  <w:style w:type="paragraph" w:customStyle="1" w:styleId="Default">
    <w:name w:val="Default"/>
    <w:rsid w:val="00CF7F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CF7FC9"/>
    <w:pPr>
      <w:spacing w:after="0" w:line="240" w:lineRule="auto"/>
      <w:ind w:firstLine="900"/>
    </w:pPr>
    <w:rPr>
      <w:rFonts w:ascii="Tahoma" w:eastAsia="Times New Roman" w:hAnsi="Tahoma" w:cs="Tahoma"/>
      <w:sz w:val="24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F7FC9"/>
    <w:rPr>
      <w:rFonts w:ascii="Tahoma" w:eastAsia="Times New Roman" w:hAnsi="Tahoma" w:cs="Tahoma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28BF6-4A9B-49FA-A3CD-41C66E93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13</Pages>
  <Words>2623</Words>
  <Characters>14957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82</cp:revision>
  <dcterms:created xsi:type="dcterms:W3CDTF">2015-07-28T12:32:00Z</dcterms:created>
  <dcterms:modified xsi:type="dcterms:W3CDTF">2015-09-10T20:04:00Z</dcterms:modified>
</cp:coreProperties>
</file>